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C20" w:rsidRDefault="00444C20" w:rsidP="00444C20">
      <w:pPr>
        <w:jc w:val="center"/>
        <w:rPr>
          <w:rFonts w:ascii="華康中黑體" w:eastAsia="華康中黑體" w:hAnsi="Times New Roman" w:cs="Times New Roman"/>
          <w:b/>
          <w:sz w:val="28"/>
          <w:szCs w:val="20"/>
        </w:rPr>
      </w:pP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台北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市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</w:t>
      </w:r>
      <w:r w:rsidRPr="00444C20">
        <w:rPr>
          <w:rFonts w:ascii="華康中黑體" w:eastAsia="華康中黑體" w:hAnsi="Times New Roman" w:cs="Times New Roman"/>
          <w:b/>
          <w:sz w:val="28"/>
          <w:szCs w:val="20"/>
          <w:u w:val="single"/>
        </w:rPr>
        <w:t>8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學年度 第</w:t>
      </w:r>
      <w:r w:rsidRPr="00444C20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一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學期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 北投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國民中學 </w:t>
      </w:r>
    </w:p>
    <w:p w:rsidR="00444C20" w:rsidRPr="00444C20" w:rsidRDefault="00444C20" w:rsidP="00444C20">
      <w:pPr>
        <w:jc w:val="center"/>
        <w:rPr>
          <w:rFonts w:ascii="標楷體" w:eastAsia="新細明體" w:hAnsi="Times New Roman" w:cs="Times New Roman"/>
          <w:b/>
          <w:sz w:val="22"/>
          <w:szCs w:val="20"/>
          <w:u w:val="single"/>
        </w:rPr>
      </w:pP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 九</w:t>
      </w:r>
      <w:r w:rsidRPr="00444C20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Pr="00444C20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年級</w:t>
      </w:r>
      <w:r w:rsidRPr="00444C20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="009C0452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藝術與人文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領域 音樂科 </w:t>
      </w:r>
      <w:r w:rsidR="0028183B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課程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計畫</w:t>
      </w:r>
      <w:r w:rsidRPr="00444C20">
        <w:rPr>
          <w:rFonts w:ascii="華康中黑體" w:eastAsia="新細明體" w:hAnsi="Times New Roman" w:cs="Times New Roman"/>
          <w:b/>
          <w:sz w:val="28"/>
          <w:szCs w:val="20"/>
        </w:rPr>
        <w:t xml:space="preserve">  </w:t>
      </w:r>
    </w:p>
    <w:p w:rsidR="00444C20" w:rsidRPr="00444C20" w:rsidRDefault="00444C20" w:rsidP="00444C20">
      <w:pPr>
        <w:ind w:right="57"/>
        <w:jc w:val="both"/>
        <w:rPr>
          <w:rFonts w:ascii="標楷體" w:eastAsia="新細明體" w:hAnsi="Times New Roman" w:cs="Times New Roman"/>
          <w:sz w:val="22"/>
          <w:szCs w:val="20"/>
        </w:rPr>
      </w:pPr>
      <w:r w:rsidRPr="00444C20">
        <w:rPr>
          <w:rFonts w:ascii="標楷體" w:eastAsia="新細明體" w:hAnsi="Times New Roman" w:cs="Times New Roman" w:hint="eastAsia"/>
          <w:sz w:val="22"/>
          <w:szCs w:val="20"/>
        </w:rPr>
        <w:t>學習總目標：</w:t>
      </w:r>
    </w:p>
    <w:p w:rsidR="00444C20" w:rsidRPr="00444C20" w:rsidRDefault="00444C20" w:rsidP="00444C20">
      <w:pPr>
        <w:rPr>
          <w:rFonts w:ascii="新細明體" w:eastAsia="新細明體" w:hAnsi="新細明體" w:cs="Times New Roman"/>
          <w:sz w:val="22"/>
        </w:rPr>
      </w:pPr>
      <w:r w:rsidRPr="00444C20">
        <w:rPr>
          <w:rFonts w:ascii="新細明體" w:eastAsia="新細明體" w:hAnsi="新細明體" w:cs="Times New Roman"/>
          <w:sz w:val="22"/>
        </w:rPr>
        <w:t>1.</w:t>
      </w:r>
      <w:r w:rsidRPr="00444C20">
        <w:rPr>
          <w:rFonts w:ascii="新細明體" w:eastAsia="新細明體" w:hAnsi="新細明體" w:cs="Times New Roman" w:hint="eastAsia"/>
          <w:sz w:val="22"/>
        </w:rPr>
        <w:t xml:space="preserve"> 認識欣賞歌劇、音樂劇；了解數位科技音樂。</w:t>
      </w:r>
    </w:p>
    <w:p w:rsidR="00444C20" w:rsidRPr="00444C20" w:rsidRDefault="00444C20" w:rsidP="00444C20">
      <w:pPr>
        <w:rPr>
          <w:rFonts w:ascii="新細明體" w:eastAsia="新細明體" w:hAnsi="新細明體" w:cs="Times New Roman"/>
          <w:sz w:val="22"/>
        </w:rPr>
      </w:pPr>
      <w:r w:rsidRPr="00444C20">
        <w:rPr>
          <w:rFonts w:ascii="新細明體" w:eastAsia="新細明體" w:hAnsi="新細明體" w:cs="Times New Roman"/>
          <w:sz w:val="22"/>
        </w:rPr>
        <w:t xml:space="preserve">2. </w:t>
      </w:r>
      <w:r w:rsidRPr="00444C20">
        <w:rPr>
          <w:rFonts w:ascii="新細明體" w:eastAsia="華康中黑體" w:hAnsi="新細明體" w:cs="Times New Roman" w:hint="eastAsia"/>
          <w:sz w:val="22"/>
        </w:rPr>
        <w:t>認識音樂會並舉辦班級音樂會</w:t>
      </w:r>
    </w:p>
    <w:p w:rsidR="00444C20" w:rsidRPr="00444C20" w:rsidRDefault="00444C20" w:rsidP="00444C20">
      <w:p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48"/>
        <w:gridCol w:w="2648"/>
        <w:gridCol w:w="2682"/>
        <w:gridCol w:w="2747"/>
        <w:gridCol w:w="447"/>
        <w:gridCol w:w="1246"/>
        <w:gridCol w:w="960"/>
        <w:gridCol w:w="1440"/>
        <w:gridCol w:w="1908"/>
      </w:tblGrid>
      <w:tr w:rsidR="00444C20" w:rsidRPr="00444C20" w:rsidTr="00E30651"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起訖週次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單元名稱</w:t>
            </w:r>
          </w:p>
        </w:tc>
        <w:tc>
          <w:tcPr>
            <w:tcW w:w="2648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>對應能力指標</w:t>
            </w:r>
          </w:p>
        </w:tc>
        <w:tc>
          <w:tcPr>
            <w:tcW w:w="2682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>教學目標</w:t>
            </w:r>
          </w:p>
        </w:tc>
        <w:tc>
          <w:tcPr>
            <w:tcW w:w="2747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教學活動重點</w:t>
            </w:r>
          </w:p>
        </w:tc>
        <w:tc>
          <w:tcPr>
            <w:tcW w:w="447" w:type="dxa"/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sz w:val="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教學節數</w:t>
            </w:r>
          </w:p>
        </w:tc>
        <w:tc>
          <w:tcPr>
            <w:tcW w:w="1246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教學資源</w:t>
            </w:r>
          </w:p>
        </w:tc>
        <w:tc>
          <w:tcPr>
            <w:tcW w:w="960" w:type="dxa"/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評量方式</w:t>
            </w:r>
          </w:p>
        </w:tc>
        <w:tc>
          <w:tcPr>
            <w:tcW w:w="1440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重大議題</w:t>
            </w:r>
          </w:p>
        </w:tc>
        <w:tc>
          <w:tcPr>
            <w:tcW w:w="1908" w:type="dxa"/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十大基本能力</w:t>
            </w:r>
          </w:p>
        </w:tc>
      </w:tr>
      <w:tr w:rsidR="00444C20" w:rsidRPr="00444C20" w:rsidTr="00E30651">
        <w:trPr>
          <w:cantSplit/>
          <w:trHeight w:val="954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一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輕鬆入門聽歌劇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認識歌劇的字源與歷史淵源。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學習歌劇中重要的組成要素。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1.什麼是歌劇？認識歌劇的組成要素。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1.教學簡報、學習單、電腦、單槍投影機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輕鬆入門聽歌劇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1.從實際的歌劇名作《杜蘭朵公主》、《卡門》中認識歌劇的要素。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1.樂曲欣賞——歌劇《杜蘭朵公主》、《卡門》。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1.單槍投影機、影音資料與網路資源等相關教學媒體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運用各種資訊、科技與媒體資源解決問題，不受性別的限制。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輕鬆入門聽歌劇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1從歌劇簡史與各時期的名作認識歌劇的演變。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1.介紹歌劇簡史與名作。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1.教學簡報、電腦、單槍投影機、影音資料與網路資源等相關教學媒體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輕鬆入門聽歌劇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能認識玻羅定的歌劇《伊果王子》內容。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2認識二十世紀的歌劇，並藉由蓋希文的歌劇《波奇和貝絲》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(Porgy and Bess)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認識爵士樂融入歌劇的影響，並演唱此部歌劇的選曲〈噢！我是一無所有〉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(I Got Plenty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 xml:space="preserve"> 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O'Nuttin)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1.歌曲習唱〈噢！我是一無所有〉。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1.教學簡報、電腦、單槍投影機、影音資料與網路資源等相關教學媒體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   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五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輕鬆入門聽歌劇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能夠完成「非常有藝思」學習單。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1.進行非常有藝思活動：歌劇達人。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1.歌唱評量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音樂劇風雲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從各年代的音樂劇，讓學生欣賞不同風格的音樂。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認識著名的音樂家，劇作家，讓學生了解成為大師級人物背後所需要的努力。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1.認識音樂劇的結構與起源。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2.介紹音樂劇的黃金時代</w:t>
            </w:r>
            <w:r w:rsidRPr="00444C20">
              <w:rPr>
                <w:rFonts w:ascii="MS Mincho" w:eastAsia="MS Mincho" w:hAnsi="MS Mincho" w:cs="MS Mincho" w:hint="eastAsia"/>
                <w:sz w:val="16"/>
                <w:szCs w:val="24"/>
              </w:rPr>
              <w:t>㈠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1.教學簡報電腦、單槍投影機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4-2-1 能歸納思考不同區域性環境問題的原因與研判可能的解決方式。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音樂劇風雲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.讓學生演奏直笛曲《獅子王》中的〈今夜你是否感受到我的愛〉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(Can You Feel Love Tonight)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，讓學生感受到音樂劇中音樂的力量與功能。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1.介紹音樂劇的黃金時代</w:t>
            </w:r>
            <w:r w:rsidRPr="00444C20">
              <w:rPr>
                <w:rFonts w:ascii="MS Mincho" w:eastAsia="MS Mincho" w:hAnsi="MS Mincho" w:cs="MS Mincho" w:hint="eastAsia"/>
                <w:sz w:val="16"/>
                <w:szCs w:val="24"/>
              </w:rPr>
              <w:t>㈡</w:t>
            </w:r>
            <w:r w:rsidRPr="00444C20">
              <w:rPr>
                <w:rFonts w:ascii="新細明體" w:eastAsia="新細明體" w:hAnsi="新細明體" w:cs="新細明體" w:hint="eastAsia"/>
                <w:sz w:val="16"/>
                <w:szCs w:val="24"/>
              </w:rPr>
              <w:t>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2.音樂劇欣賞：《獅子王》、《你是好人，查理布朗》。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3.直笛指法練習、中音直笛習奏〈今夜你是否感受到我的愛〉。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1-2-1 了解電腦在人類生活，如家庭、學校、工作，以及各學習領域之應用。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4-2-1 能歸納思考不同區域性環境問題的原因與研判可能的解決方式。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八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音樂劇風雲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讓學生習唱《悲慘世界》中的〈我曾有夢〉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(I Dreamed a Dream)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，讓學生感受到音樂劇中音樂的力量與功能。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1.音樂劇欣賞《悲慘世界》。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2.歌曲習唱〈我曾有夢〉。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1.電腦、單槍投影機、影音資料與網路資源等相關教學媒體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1.直笛評量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1-2-1 了解電腦在人類生活，如家庭、學校、工作，以及各學習領域之應用。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4-2-1 能歸納思考不同區域性環境問題的原因與研判可能的解決方式。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音樂劇風雲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認識著名的音樂家，劇作家，讓學生了解成為大師級人物背後所需要的努力。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1.欣賞音樂劇《四月望雨》。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1.影音資料與網路資源等相關教學媒體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1-2-1 了解電腦在人類生活，如家庭、學校、工作，以及各學習領域之應用。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4-2-1 能歸納思考不同區域性環境問題的原因與研判可能的解決方式。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音樂劇風雲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認識著名的音樂家，劇作家，讓學生了解成為大師級人物背後所需要的努力。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1.講述何謂移調並讓學生練習。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2.進行非常有藝思活動：音樂劇大富翁。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1.教學簡報、電腦、單槍投影機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1.學生互評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1-2-1 了解電腦在人類生活，如家庭、學校、工作，以及各學習領域之應用。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4-2-1 能歸納思考不同區域性環境問題的原因與研判可能的解決方式。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十一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音樂魔法師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體察人群間各種情感的特質，設計關懷社會與自然環境的主題，運用適當的媒體與技法，傳達個人或團體情感與價值觀，發展獨特的表現。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透過有計劃的集體創作與展演活動，表現自動、合作、尊重、秩序、溝通、協調的團隊精神與態度。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認識科技音樂的範疇、種類與各項運用。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1.認識數位科技音樂。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2.電腦演奏音樂。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1.電腦、電腦教學簡報、單槍投影機、網路資源等相關教學媒體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、音響等相關硬體設備、學習單，電腦教室、相關出版品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5-2-1 能具有參與調查與解決生活周遭環境問題的經驗。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音樂魔法師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透過有計劃的集體創作與展演活動，表現自動、合作、尊重、秩序、溝通、協調的團隊精神與態度。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能正確演奏出不同的節奏型並與他人合奏。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1.認識谷歌塗鴉。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1.電腦、電腦教學簡報、單槍投影機、網路資源等相關教學媒體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、音響等相關硬體設備、學習單，電腦教室、相關出版品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5-2-1 能具有參與調查與解決生活周遭環境問題的經驗。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十三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音樂魔法師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體察人群間各種情感的特質，設計關懷社會與自然環境的主題，運用適當的媒體與技法，傳達個人或團體情感與價值觀，發展獨特的表現。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透過有計劃的集體創作與展演活動，表現自動、合作、尊重、秩序、溝通、協調的團隊精神與態度。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能操作軟體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Audacity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進行錄音、剪輯和音樂編輯。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藉由實地操作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谷歌電吉他、擴增實境樂器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，體會科技之於音樂的多元性及未來性。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1介紹常見的五線譜電腦製作程式，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並實際操作軟體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Audacity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製作卡拉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O.K.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伴唱帶。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2.以柏妮絲強森雷根、維芙費雪巴比麥克菲林為例，介紹多聲道無伴奏歌唱作品。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教學簡報、圖片、學習單、電腦、單槍投影機、影音資料與網路資源等相關教學媒體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、音響等相關硬體設備、學習單，電腦教室、相關出版品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節奏評量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5-2-1 能具有參與調查與解決生活周遭環境問題的經驗。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音樂魔法師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體察人群間各種情感的特質，設計關懷社會與自然環境的主題，運用適當的媒體與技法，傳達個人或團體情感與價值觀，發展獨特的表現。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透過有計劃的集體創作與展演活動，表現自動、合作、尊重、秩序、溝通、協調的團隊精神與態度。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藉由實地操作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谷歌電吉他、擴增實境樂器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，體會科技之於音樂的多元性及未來性。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1.音樂無國界、介紹Y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outube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交響樂團。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2.擴增實境樂器的介紹與應用。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1.電腦、電腦教學簡報、單槍投影機、網路資源等相關教學媒體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、音響等相關硬體設備、學習單，電腦教室、相關出版品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5-2-1 能具有參與調查與解決生活周遭環境問題的經驗。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十五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 w:firstLine="40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音樂魔法師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體察人群間各種情感的特質，設計關懷社會與自然環境的主題，運用適當的媒體與技法，傳達個人或團體情感與價值觀，發展獨特的表現。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透過有計劃的集體創作與展演活動，表現自動、合作、尊重、秩序、溝通、協調的團隊精神與態度。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從本身出發，主動關懷週遭環境。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1.進行非常有藝思活動：魔法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Do Re Mi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1.電腦、電腦教學簡報、單槍投影機、網路資源等相關教學媒體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、音響等相關硬體設備、學習單，電腦教室、相關出版品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5-2-1 能具有參與調查與解決生活周遭環境問題的經驗。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認識音樂會的分類。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1.音樂會的分類。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2.分組討論，舉辦班級音樂會的主題、方式、內容、時間。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教學簡報、圖片、學習單、電腦、單槍投影機、影音資料與網路資源等相關教學媒體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十七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感受及辨別古典藝術與當代藝術、精緻藝術與大眾藝術風格的差異，體會不同時代、社會的藝術生活與價值觀。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.了解欣賞音樂會的禮儀與其他注意事項。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透過團隊合作，規畫班級音樂會。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1.歌曲習唱〈掌聲響起〉。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2.如何欣賞一場音樂會。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教學簡報、圖片、學習單、電腦、單槍投影機、影音資料與網路資源等相關教學媒體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1.教師評量2.互相討論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透過團隊合作，規畫班級音樂會。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1.準備班級音樂會。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2.中音直笛習奏〈知足〉。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1.教學簡報、相關出版品、筆記型電腦、單槍投影機、螢幕、網路資源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1.互相討論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十九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透過團隊合作，規畫班級音樂會。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能在班級音樂會中呈現音樂學習結果。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1.進行非常有藝思活動：音樂饗宴。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1.教學簡報、相關出版品、筆記型電腦、單槍投影機、螢幕、網路資源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2.鋼琴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 xml:space="preserve"> 班級音樂會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 xml:space="preserve"> 跨班級音樂會</w:t>
            </w: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1.先於音樂課時舉辦班級音樂會。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再於班週會課時舉辦跨班級音樂會，相互觀摩學習。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表演廳租借。</w:t>
            </w:r>
          </w:p>
          <w:p w:rsidR="00444C20" w:rsidRPr="00444C20" w:rsidRDefault="00444C20" w:rsidP="00444C20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鋼琴及所需樂器</w:t>
            </w: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1.學生互評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E30651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444C20" w:rsidRPr="00444C20" w:rsidRDefault="00444C20" w:rsidP="00444C20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二十一</w:t>
            </w:r>
          </w:p>
        </w:tc>
        <w:tc>
          <w:tcPr>
            <w:tcW w:w="448" w:type="dxa"/>
            <w:textDirection w:val="tbRlV"/>
            <w:vAlign w:val="center"/>
          </w:tcPr>
          <w:p w:rsidR="00444C20" w:rsidRPr="00444C20" w:rsidRDefault="00444C20" w:rsidP="00444C20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乘著樂音展翅高飛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48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3-4-10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透過有計畫的集體創作與展演活動，表現自動、合作、尊重、秩序、溝通、協調的團隊精神與態度。</w:t>
            </w:r>
          </w:p>
        </w:tc>
        <w:tc>
          <w:tcPr>
            <w:tcW w:w="2682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 xml:space="preserve"> 班級音樂會講評與分享。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2747" w:type="dxa"/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1.老師講評與學生心得分享。</w:t>
            </w:r>
          </w:p>
        </w:tc>
        <w:tc>
          <w:tcPr>
            <w:tcW w:w="447" w:type="dxa"/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46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1.筆記型電腦、單槍投影機、螢幕、網路資源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960" w:type="dxa"/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</w:tc>
        <w:tc>
          <w:tcPr>
            <w:tcW w:w="1440" w:type="dxa"/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1908" w:type="dxa"/>
          </w:tcPr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</w:tbl>
    <w:p w:rsidR="00444C20" w:rsidRPr="00444C20" w:rsidRDefault="00444C20" w:rsidP="00444C20">
      <w:pPr>
        <w:jc w:val="both"/>
        <w:rPr>
          <w:rFonts w:ascii="新細明體" w:eastAsia="新細明體" w:hAnsi="新細明體" w:cs="Times New Roman"/>
          <w:szCs w:val="24"/>
        </w:rPr>
      </w:pPr>
    </w:p>
    <w:p w:rsidR="00714712" w:rsidRDefault="00714712"/>
    <w:p w:rsidR="00444C20" w:rsidRDefault="00444C20" w:rsidP="00444C20">
      <w:pPr>
        <w:ind w:leftChars="400" w:left="960" w:rightChars="400" w:right="960"/>
        <w:jc w:val="center"/>
        <w:rPr>
          <w:rFonts w:ascii="華康中黑體" w:eastAsia="華康中黑體" w:hAnsi="Times New Roman" w:cs="Times New Roman"/>
          <w:b/>
          <w:sz w:val="28"/>
          <w:szCs w:val="20"/>
        </w:rPr>
      </w:pP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lastRenderedPageBreak/>
        <w:t>台北</w:t>
      </w:r>
      <w:r w:rsidRPr="00444C20">
        <w:rPr>
          <w:rFonts w:ascii="細明體" w:eastAsia="細明體" w:hAnsi="細明體" w:cs="細明體" w:hint="eastAsia"/>
          <w:b/>
          <w:sz w:val="28"/>
          <w:szCs w:val="20"/>
        </w:rPr>
        <w:t>市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</w:t>
      </w:r>
      <w:r w:rsidRPr="00444C20">
        <w:rPr>
          <w:rFonts w:ascii="華康中黑體" w:eastAsia="華康中黑體" w:hAnsi="Times New Roman" w:cs="Times New Roman"/>
          <w:b/>
          <w:sz w:val="28"/>
          <w:szCs w:val="20"/>
          <w:u w:val="single"/>
        </w:rPr>
        <w:t>8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學年度 第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二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學期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 北投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國民中學</w:t>
      </w:r>
    </w:p>
    <w:p w:rsidR="00444C20" w:rsidRPr="00444C20" w:rsidRDefault="00444C20" w:rsidP="00444C20">
      <w:pPr>
        <w:ind w:leftChars="400" w:left="960" w:rightChars="400" w:right="960"/>
        <w:jc w:val="center"/>
        <w:rPr>
          <w:rFonts w:ascii="標楷體" w:eastAsia="華康中黑體" w:hAnsi="Times New Roman" w:cs="Times New Roman"/>
          <w:b/>
          <w:sz w:val="22"/>
          <w:szCs w:val="20"/>
          <w:u w:val="single"/>
        </w:rPr>
      </w:pPr>
      <w:r w:rsidRPr="00444C20">
        <w:rPr>
          <w:rFonts w:ascii="華康中黑體" w:eastAsia="華康中黑體" w:hAnsi="Times New Roman" w:cs="Times New Roman"/>
          <w:b/>
          <w:sz w:val="28"/>
          <w:szCs w:val="20"/>
          <w:u w:val="single"/>
        </w:rPr>
        <w:t xml:space="preserve">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九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年級</w:t>
      </w:r>
      <w:r w:rsidR="007A640D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</w:t>
      </w:r>
      <w:bookmarkStart w:id="0" w:name="_GoBack"/>
      <w:bookmarkEnd w:id="0"/>
      <w:r w:rsidRPr="00444C20">
        <w:rPr>
          <w:rFonts w:ascii="華康中黑體" w:eastAsia="華康中黑體" w:hAnsi="Times New Roman" w:cs="Times New Roman" w:hint="eastAsia"/>
          <w:b/>
          <w:color w:val="000000"/>
          <w:sz w:val="28"/>
          <w:szCs w:val="20"/>
          <w:u w:val="single"/>
        </w:rPr>
        <w:t>藝</w:t>
      </w:r>
      <w:r w:rsidR="00546F68">
        <w:rPr>
          <w:rFonts w:ascii="華康中黑體" w:eastAsia="華康中黑體" w:hAnsi="Times New Roman" w:cs="Times New Roman" w:hint="eastAsia"/>
          <w:b/>
          <w:color w:val="000000"/>
          <w:sz w:val="28"/>
          <w:szCs w:val="20"/>
          <w:u w:val="single"/>
        </w:rPr>
        <w:t>術與人</w:t>
      </w:r>
      <w:r w:rsidRPr="00444C20">
        <w:rPr>
          <w:rFonts w:ascii="華康中黑體" w:eastAsia="華康中黑體" w:hAnsi="Times New Roman" w:cs="Times New Roman" w:hint="eastAsia"/>
          <w:b/>
          <w:color w:val="000000"/>
          <w:sz w:val="28"/>
          <w:szCs w:val="20"/>
          <w:u w:val="single"/>
        </w:rPr>
        <w:t>文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領域</w:t>
      </w:r>
      <w:r w:rsidR="00546F68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音樂</w:t>
      </w:r>
      <w:r w:rsidRPr="00444C20">
        <w:rPr>
          <w:rFonts w:ascii="華康中黑體" w:eastAsia="華康中黑體" w:hAnsi="Times New Roman" w:cs="Times New Roman" w:hint="eastAsia"/>
          <w:b/>
          <w:sz w:val="28"/>
          <w:szCs w:val="20"/>
        </w:rPr>
        <w:t>科</w:t>
      </w:r>
      <w:r w:rsidR="00546F68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課程</w:t>
      </w:r>
      <w:r w:rsidR="007F3CA2">
        <w:rPr>
          <w:rFonts w:ascii="華康中黑體" w:eastAsia="華康中黑體" w:hAnsi="Times New Roman" w:cs="Times New Roman" w:hint="eastAsia"/>
          <w:b/>
          <w:sz w:val="28"/>
          <w:szCs w:val="20"/>
        </w:rPr>
        <w:t>計畫</w:t>
      </w:r>
    </w:p>
    <w:p w:rsidR="00444C20" w:rsidRPr="00444C20" w:rsidRDefault="00444C20" w:rsidP="00444C20">
      <w:pPr>
        <w:ind w:right="57"/>
        <w:jc w:val="both"/>
        <w:rPr>
          <w:rFonts w:ascii="標楷體" w:eastAsia="新細明體" w:hAnsi="Times New Roman" w:cs="Times New Roman"/>
          <w:sz w:val="22"/>
          <w:szCs w:val="20"/>
        </w:rPr>
      </w:pPr>
      <w:r w:rsidRPr="00444C20">
        <w:rPr>
          <w:rFonts w:ascii="標楷體" w:eastAsia="新細明體" w:hAnsi="Times New Roman" w:cs="Times New Roman" w:hint="eastAsia"/>
          <w:sz w:val="22"/>
          <w:szCs w:val="20"/>
        </w:rPr>
        <w:t>學習總目標：</w:t>
      </w:r>
    </w:p>
    <w:p w:rsidR="00444C20" w:rsidRPr="00444C20" w:rsidRDefault="00444C20" w:rsidP="00444C20">
      <w:pPr>
        <w:ind w:rightChars="412" w:right="989"/>
        <w:rPr>
          <w:rFonts w:ascii="新細明體" w:eastAsia="新細明體" w:hAnsi="新細明體" w:cs="Times New Roman"/>
          <w:sz w:val="22"/>
        </w:rPr>
      </w:pPr>
      <w:r w:rsidRPr="00444C20">
        <w:rPr>
          <w:rFonts w:ascii="新細明體" w:eastAsia="新細明體" w:hAnsi="新細明體" w:cs="Times New Roman" w:hint="eastAsia"/>
          <w:sz w:val="22"/>
        </w:rPr>
        <w:t>1. 介紹民歌、福佬民歌、客家民歌、原住民民歌及新音樂；了解南北管，學習不同民族的音樂特性，以及音樂在各民族的功能；認識歐洲、非洲與美洲各洲的音樂特色與正規節奏與非正規節奏；了解世界遺產的類型、篩選與保護機制。</w:t>
      </w:r>
    </w:p>
    <w:p w:rsidR="00444C20" w:rsidRPr="00444C20" w:rsidRDefault="00444C20" w:rsidP="00444C20">
      <w:pPr>
        <w:adjustRightInd w:val="0"/>
        <w:spacing w:after="90" w:line="360" w:lineRule="exact"/>
        <w:ind w:rightChars="412" w:right="989"/>
        <w:jc w:val="both"/>
        <w:rPr>
          <w:rFonts w:ascii="新細明體" w:eastAsia="新細明體" w:hAnsi="新細明體" w:cs="Times New Roman"/>
          <w:sz w:val="22"/>
        </w:rPr>
      </w:pPr>
      <w:r w:rsidRPr="00444C20">
        <w:rPr>
          <w:rFonts w:ascii="新細明體" w:eastAsia="新細明體" w:hAnsi="新細明體" w:cs="Courier New" w:hint="eastAsia"/>
          <w:sz w:val="22"/>
        </w:rPr>
        <w:t>2. 認識不同形式的畢業典禮，了解欣賞音樂會的禮儀與其他注意事項；規畫班級音樂會，並呈現音樂學習成</w:t>
      </w:r>
      <w:r w:rsidRPr="00444C20">
        <w:rPr>
          <w:rFonts w:ascii="新細明體" w:eastAsia="新細明體" w:hAnsi="新細明體" w:cs="Times New Roman" w:hint="eastAsia"/>
          <w:sz w:val="22"/>
        </w:rPr>
        <w:t>果；從生活中認識各種書刊編輯的形式要素與美感，並</w:t>
      </w:r>
      <w:r w:rsidRPr="00444C20">
        <w:rPr>
          <w:rFonts w:ascii="新細明體" w:eastAsia="新細明體" w:hAnsi="新細明體" w:cs="Courier New" w:hint="eastAsia"/>
          <w:sz w:val="22"/>
        </w:rPr>
        <w:t>認識海報的編排原則與種類，以及海報對於藝術活動宣傳的重要性。</w:t>
      </w:r>
    </w:p>
    <w:p w:rsidR="00444C20" w:rsidRPr="00444C20" w:rsidRDefault="00444C20" w:rsidP="00444C20">
      <w:pPr>
        <w:adjustRightInd w:val="0"/>
        <w:spacing w:after="90" w:line="360" w:lineRule="exact"/>
        <w:ind w:right="57"/>
        <w:jc w:val="both"/>
        <w:rPr>
          <w:rFonts w:ascii="新細明體" w:eastAsia="新細明體" w:hAnsi="新細明體" w:cs="Times New Roman"/>
          <w:sz w:val="22"/>
        </w:rPr>
      </w:pPr>
    </w:p>
    <w:tbl>
      <w:tblPr>
        <w:tblW w:w="15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80"/>
        <w:gridCol w:w="2601"/>
        <w:gridCol w:w="2693"/>
        <w:gridCol w:w="2694"/>
        <w:gridCol w:w="425"/>
        <w:gridCol w:w="1276"/>
        <w:gridCol w:w="850"/>
        <w:gridCol w:w="1559"/>
        <w:gridCol w:w="2410"/>
      </w:tblGrid>
      <w:tr w:rsidR="00444C20" w:rsidRPr="00444C20" w:rsidTr="00546F68">
        <w:trPr>
          <w:cantSplit/>
          <w:trHeight w:val="1396"/>
          <w:tblHeader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color w:val="000000"/>
                <w:w w:val="1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color w:val="000000"/>
                <w:w w:val="120"/>
                <w:szCs w:val="24"/>
              </w:rPr>
              <w:t>起訖週次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color w:val="000000"/>
                <w:w w:val="1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color w:val="000000"/>
                <w:w w:val="120"/>
                <w:szCs w:val="24"/>
              </w:rPr>
              <w:t>單元名稱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>對應能力指標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>教學</w:t>
            </w: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 xml:space="preserve">   </w:t>
            </w:r>
            <w:r w:rsidRPr="00444C20">
              <w:rPr>
                <w:rFonts w:ascii="Times New Roman" w:eastAsia="細明體" w:hAnsi="Times New Roman" w:cs="Times New Roman" w:hint="eastAsia"/>
                <w:szCs w:val="20"/>
              </w:rPr>
              <w:t>目標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教學活動重點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tbRlV"/>
            <w:vAlign w:val="center"/>
          </w:tcPr>
          <w:p w:rsidR="00444C20" w:rsidRPr="00444C20" w:rsidRDefault="00444C20" w:rsidP="00444C20">
            <w:pPr>
              <w:ind w:left="113" w:right="113"/>
              <w:jc w:val="center"/>
              <w:rPr>
                <w:rFonts w:ascii="Times New Roman" w:eastAsia="細明體" w:hAnsi="Times New Roman" w:cs="Times New Roman"/>
                <w:color w:val="00000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color w:val="000000"/>
                <w:w w:val="120"/>
                <w:szCs w:val="24"/>
              </w:rPr>
              <w:t>教學節數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教學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 xml:space="preserve">  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資源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color w:val="000000"/>
                <w:w w:val="120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評量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 xml:space="preserve">  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方式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重大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 xml:space="preserve">     </w:t>
            </w: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議題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:rsidR="00444C20" w:rsidRPr="00444C20" w:rsidRDefault="00444C20" w:rsidP="00444C20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444C20">
              <w:rPr>
                <w:rFonts w:ascii="Times New Roman" w:eastAsia="細明體" w:hAnsi="Times New Roman" w:cs="Times New Roman" w:hint="eastAsia"/>
                <w:szCs w:val="24"/>
              </w:rPr>
              <w:t>十大基本能力</w:t>
            </w:r>
          </w:p>
        </w:tc>
      </w:tr>
      <w:tr w:rsidR="00444C20" w:rsidRPr="00444C20" w:rsidTr="00546F68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臺灣音樂之旅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欣賞及鑑別古典藝術與當代藝術、精緻藝術與大眾藝術風格的差異，體會不同時代、社會的藝術生活與價值觀。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了解民歌的定義及自然民歌和創作民歌間的差異。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認識福佬民歌。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1.介紹民歌種類及分布、福佬民歌。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2.歌曲習唱〈望春風〉。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能運用資訊及網路科技，培養合作與主動學習的能力。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22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臺灣音樂之旅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感受及鑑別古典藝術與當代藝術、精緻藝術與大眾藝術風格的差異，體會不同時代、社會的藝術生活與價值觀。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認識客家民歌。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 介紹客家民歌。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.</w:t>
            </w: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 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歌曲習唱〈客家山歌子〉。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1.學生互評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臺灣音樂之旅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感受及鑑別古典藝術與當代藝術、精緻藝術與大眾藝術風格的差異，體會不同時代、社會的藝術生活與價值觀。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1.能仿效原住民，正確運用節奏素材與歌曲配搭。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1.原住民民歌。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2.歌曲習唱〈老人飲酒歌〉。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3.原住民新音樂及節奏練習。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444C20" w:rsidRPr="00444C20" w:rsidTr="00546F68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臺灣音樂之旅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感受及鑑別古典藝術與當代藝術、精緻藝術與大眾藝術風格的差異，體會不同時代、社會的藝術生活與價值觀。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1.認識南管音樂。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1.介紹南管音樂。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1.歌唱評量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能運用資訊及網路科技，培養合作與主動學習的能力。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臺灣音樂之旅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感受及鑑別古典藝術與當代藝術、精緻藝術與大眾藝術風格的差異，體會不同時代、社會的藝術生活與價值觀。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1.認識北管音樂。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1.介紹北管音樂。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20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2.非常有藝思學習單：聆聽寶島的聲音。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 學習單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亞洲音樂漫遊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1.介紹亞洲鄰近國家的樂器，樂種讓學生欣賞不同風格的音樂。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2.藉由不同民族的音樂，讓學生了解音樂的多元風貌。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1.講述日韓範例音樂的特色。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2.運用簡易樂器做節奏練習。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3.演唱日本民謠〈花〉。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能運用資訊及網路科技，培養合作與主動學習的能力。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亞洲音樂漫遊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1.介紹亞洲鄰近國家的樂器，樂種讓學生欣賞不同風格的音樂。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2.藉由不同民族的音樂，讓學生了解音樂的多元風貌。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3.認識鄰近各國傳統樂器的演變，讓學生了解地球村成員的緊密關係。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1.東南亞：竹子及青銅的音樂世界</w:t>
            </w: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越南、緬甸、泰國</w:t>
            </w: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)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2.講述東南亞音樂的特色。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7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亞洲音樂漫遊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1.介紹亞洲鄰近國家的樂器，樂種讓學生欣賞不同風格的音樂。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2.藉由不同民族的音樂，讓學生了解音樂的多元風貌。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3.認識鄰近各國傳統樂器的演變，讓學生了解地球村成員的緊密關係。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1.介紹印尼甘美朗。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2.觀察並討論東南亞的鑼型態的相同與相異之處。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64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九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亞洲音樂漫遊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1.介紹亞洲鄰近國家的樂器，樂種讓學生欣賞不同風格的音樂。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2.藉由不同民族的音樂，讓學生了解音樂的多元風貌。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3.認識鄰近各國傳統樂器的演變，讓學生了解地球村成員的緊密關係。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1.印度音樂。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70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亞洲音樂漫遊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嘗試各種藝術媒體，探求傳統與非傳統藝術風格的差異。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1.介紹亞洲鄰近國家的樂器，樂種讓學生欣賞不同風格的音樂。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2.藉由不同民族的音樂，讓學生了解音樂的多元風貌。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3.認識鄰近各國傳統樂器的演變，讓學生了解地球村成員的緊密關係。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1.非常有藝思：樂器尋寶之旅。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1.節奏評量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92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十一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從電影看世音樂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1.認識歐洲音樂特色。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1.歐洲音樂概述。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2.風笛介紹與音樂欣賞。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3.佛朗明哥樂介紹。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4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.音樂欣賞：〈羅莎瑪麗亞〉。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78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十二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電影看世界音樂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1.認識非洲的音樂特色。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1.非洲音樂的介紹。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2.尚比亞民歌〈馬又那華〉。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1.學習單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161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從電影看世界音樂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鑑賞各種自然物、人造物與藝術作品，分析奇美感與文化特質。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1.認識北美洲的音樂特色。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1.美洲音樂簡介。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2.北美洲爵士樂介紹。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444C20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313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十四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從電影看世界音樂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鑑賞各種自然物、人造物與藝術作品，分析奇美感與文化特質。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1.認識南美洲的音樂特色。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1.南美洲舞樂介紹。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【生涯發展】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1-3-1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探索自我的興趣、性向、價值觀及人格特質。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8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Times New Roman" w:eastAsia="新細明體" w:hAnsi="Times New Roman" w:cs="Times New Roman" w:hint="eastAsia"/>
                <w:sz w:val="16"/>
                <w:szCs w:val="24"/>
              </w:rPr>
              <w:t>從電影看世界音樂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1-4-2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體察人群間各種情感的特質，設計關懷社會及自然環境的主題，運用適當的媒體與技法，傳達個人或團體情感與價值觀，發展獨特的表現。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鑑賞各種自然物、人造物與藝術作品，分析奇美感與文化特質。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1.認識正規節奏與非正規節奏。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1.節奏練習：認識正規節奏與非正規節奏。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1.節奏評量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關懷弱勢團體及其生活環境。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16"/>
              </w:rPr>
              <w:t>3-4-3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關懷未來世代的生存與永續發展。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8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十六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乘著音樂展翅高飛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二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1-4-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 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1.能演唱歌曲〈永遠的畫面〉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1.歌曲習唱</w:t>
            </w:r>
            <w:r w:rsidRPr="00444C20">
              <w:rPr>
                <w:rFonts w:ascii="MS Mincho" w:eastAsia="MS Mincho" w:hAnsi="MS Mincho" w:cs="MS Mincho" w:hint="eastAsia"/>
                <w:sz w:val="16"/>
                <w:szCs w:val="20"/>
              </w:rPr>
              <w:t>㈠</w:t>
            </w:r>
            <w:r w:rsidRPr="00444C20">
              <w:rPr>
                <w:rFonts w:ascii="新細明體" w:eastAsia="新細明體" w:hAnsi="新細明體" w:cs="新細明體" w:hint="eastAsia"/>
                <w:sz w:val="16"/>
                <w:szCs w:val="20"/>
              </w:rPr>
              <w:t>：〈永遠的畫面〉。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1.數位鋼琴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1.學生互評</w:t>
            </w:r>
          </w:p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8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十七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乘著音樂展翅高飛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二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1-4-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 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1.能藉由演唱三首不同語言的畢業歌曲，體會歌詞所表達的意境。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.能吹奏中音直笛曲〈蒲公英的約定〉。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1.中音直笛習奏</w:t>
            </w:r>
            <w:r w:rsidRPr="00444C20">
              <w:rPr>
                <w:rFonts w:ascii="新細明體" w:eastAsia="新細明體" w:hAnsi="新細明體" w:cs="新細明體" w:hint="eastAsia"/>
                <w:sz w:val="16"/>
                <w:szCs w:val="20"/>
              </w:rPr>
              <w:t>：〈蒲公英的約定〉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</w:tr>
      <w:tr w:rsidR="00444C20" w:rsidRPr="00444C20" w:rsidTr="00546F68">
        <w:trPr>
          <w:cantSplit/>
          <w:trHeight w:val="8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十八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乘著音樂展翅高飛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二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1-4-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 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1.能試著改編詞曲或進行簡易創作畢業歌曲。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2.能欣賞蕭邦鋼琴曲〈離別〉與陳珊妮改編〈離別曲〉，並能比較兩首曲目的異同。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1.音樂創作中常用的手法、欣賞曲。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2.樂曲欣賞──古典新唱：陳珊妮〈離別曲〉。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數位鋼琴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444C20" w:rsidRPr="00444C20" w:rsidTr="00546F68">
        <w:trPr>
          <w:cantSplit/>
          <w:trHeight w:val="85"/>
        </w:trPr>
        <w:tc>
          <w:tcPr>
            <w:tcW w:w="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十九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44C20" w:rsidRPr="00444C20" w:rsidRDefault="00444C20" w:rsidP="00444C20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乘著音樂展翅高飛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(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二</w:t>
            </w:r>
            <w:r w:rsidRPr="00444C20">
              <w:rPr>
                <w:rFonts w:ascii="新細明體" w:eastAsia="新細明體" w:hAnsi="新細明體" w:cs="Times New Roman"/>
                <w:sz w:val="16"/>
                <w:szCs w:val="24"/>
              </w:rPr>
              <w:t>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1-4-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 結合藝術與科技媒體，設計製作生活應用及傳達訊息的作品。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1.透過演唱活動的引導，蒐集並創作以畢業為主題的作品。</w:t>
            </w:r>
          </w:p>
          <w:p w:rsidR="00444C20" w:rsidRPr="00444C20" w:rsidRDefault="00444C20" w:rsidP="00444C20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2.透過親身參與，嘗試與同學共同規畫一場畢業音樂會。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3.能從創作教學中，體會多元藝術之美。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1.訂做屬於自己的畢業歌。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2.非常有藝思學習單：畢業樂音響起。</w:t>
            </w:r>
          </w:p>
          <w:p w:rsidR="00444C20" w:rsidRPr="00444C20" w:rsidRDefault="00444C20" w:rsidP="00444C20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3.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畢業典禮採排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20" w:rsidRPr="00444C20" w:rsidRDefault="00444C20" w:rsidP="00444C20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1.學生互評</w:t>
            </w:r>
          </w:p>
          <w:p w:rsidR="00444C20" w:rsidRPr="00444C20" w:rsidRDefault="00444C20" w:rsidP="00444C20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【人權】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2-4-1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了解文化權並能欣賞、包容文化差異。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444C20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三、生活規畫與終身學習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七、規畫、組織與實踐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444C20" w:rsidRPr="00444C20" w:rsidRDefault="00444C20" w:rsidP="00444C20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444C20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</w:tbl>
    <w:p w:rsidR="00444C20" w:rsidRPr="00444C20" w:rsidRDefault="00444C20"/>
    <w:sectPr w:rsidR="00444C20" w:rsidRPr="00444C20" w:rsidSect="006673A9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9D2" w:rsidRDefault="000E29D2" w:rsidP="006673A9">
      <w:r>
        <w:separator/>
      </w:r>
    </w:p>
  </w:endnote>
  <w:endnote w:type="continuationSeparator" w:id="0">
    <w:p w:rsidR="000E29D2" w:rsidRDefault="000E29D2" w:rsidP="0066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9D2" w:rsidRDefault="000E29D2" w:rsidP="006673A9">
      <w:r>
        <w:separator/>
      </w:r>
    </w:p>
  </w:footnote>
  <w:footnote w:type="continuationSeparator" w:id="0">
    <w:p w:rsidR="000E29D2" w:rsidRDefault="000E29D2" w:rsidP="00667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20"/>
    <w:rsid w:val="000E29D2"/>
    <w:rsid w:val="0014023E"/>
    <w:rsid w:val="0028183B"/>
    <w:rsid w:val="002A0400"/>
    <w:rsid w:val="00444C20"/>
    <w:rsid w:val="00546F68"/>
    <w:rsid w:val="006673A9"/>
    <w:rsid w:val="00714712"/>
    <w:rsid w:val="007A640D"/>
    <w:rsid w:val="007F3CA2"/>
    <w:rsid w:val="009C0452"/>
    <w:rsid w:val="00D05325"/>
    <w:rsid w:val="00DA1CF4"/>
    <w:rsid w:val="00E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F12B9-3BBC-4530-8EC7-78A81F9C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3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24</Pages>
  <Words>2624</Words>
  <Characters>14963</Characters>
  <Application>Microsoft Office Word</Application>
  <DocSecurity>0</DocSecurity>
  <Lines>124</Lines>
  <Paragraphs>35</Paragraphs>
  <ScaleCrop>false</ScaleCrop>
  <Company/>
  <LinksUpToDate>false</LinksUpToDate>
  <CharactersWithSpaces>17552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2019-06-08T00:53:00Z</dcterms:created>
  <dcterms:modified xsi:type="dcterms:W3CDTF">2019-06-08T02:38:00Z</dcterms:modified>
</cp:coreProperties>
</file>